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545" w:rsidRDefault="006D4545" w:rsidP="006D4545">
      <w:pPr>
        <w:autoSpaceDE w:val="0"/>
        <w:autoSpaceDN w:val="0"/>
        <w:adjustRightInd w:val="0"/>
        <w:jc w:val="center"/>
        <w:rPr>
          <w:rFonts w:ascii="Times New Roman" w:hAnsi="Times New Roman" w:cs="Times New Roman"/>
          <w:b/>
          <w:bCs/>
          <w:color w:val="000000"/>
          <w:sz w:val="23"/>
          <w:szCs w:val="23"/>
        </w:rPr>
      </w:pPr>
      <w:r w:rsidRPr="006D4545">
        <w:rPr>
          <w:rFonts w:ascii="Times New Roman" w:hAnsi="Times New Roman" w:cs="Times New Roman"/>
          <w:color w:val="000000"/>
          <w:sz w:val="23"/>
          <w:szCs w:val="23"/>
        </w:rPr>
        <w:t xml:space="preserve">PROTOCOLLO (n. 12) </w:t>
      </w:r>
      <w:r w:rsidRPr="006D4545">
        <w:rPr>
          <w:rFonts w:ascii="Times New Roman" w:hAnsi="Times New Roman" w:cs="Times New Roman"/>
          <w:b/>
          <w:bCs/>
          <w:color w:val="000000"/>
          <w:sz w:val="23"/>
          <w:szCs w:val="23"/>
        </w:rPr>
        <w:t xml:space="preserve">SULLA PROCEDURA PER I DISAVANZI ECCESSIVI </w:t>
      </w:r>
    </w:p>
    <w:p w:rsidR="006D4545" w:rsidRPr="006D4545" w:rsidRDefault="006D4545" w:rsidP="006D4545">
      <w:pPr>
        <w:autoSpaceDE w:val="0"/>
        <w:autoSpaceDN w:val="0"/>
        <w:adjustRightInd w:val="0"/>
        <w:jc w:val="both"/>
        <w:rPr>
          <w:rFonts w:ascii="Times New Roman" w:hAnsi="Times New Roman" w:cs="Times New Roman"/>
          <w:color w:val="000000"/>
          <w:sz w:val="24"/>
          <w:szCs w:val="24"/>
        </w:rPr>
      </w:pPr>
    </w:p>
    <w:p w:rsidR="006D4545" w:rsidRPr="006D4545" w:rsidRDefault="006D4545" w:rsidP="006D4545">
      <w:pPr>
        <w:autoSpaceDE w:val="0"/>
        <w:autoSpaceDN w:val="0"/>
        <w:adjustRightInd w:val="0"/>
        <w:ind w:right="846"/>
        <w:jc w:val="both"/>
        <w:rPr>
          <w:rFonts w:ascii="Times New Roman" w:hAnsi="Times New Roman" w:cs="Times New Roman"/>
          <w:color w:val="000000"/>
          <w:sz w:val="24"/>
          <w:szCs w:val="24"/>
        </w:rPr>
      </w:pPr>
      <w:r w:rsidRPr="006D4545">
        <w:rPr>
          <w:rFonts w:ascii="Times New Roman" w:hAnsi="Times New Roman" w:cs="Times New Roman"/>
          <w:color w:val="000000"/>
          <w:sz w:val="24"/>
          <w:szCs w:val="24"/>
        </w:rPr>
        <w:t xml:space="preserve">LE ALTE PARTI CONTRAENTI, </w:t>
      </w:r>
    </w:p>
    <w:p w:rsidR="006D4545" w:rsidRPr="006D4545" w:rsidRDefault="006D4545" w:rsidP="006D4545">
      <w:pPr>
        <w:autoSpaceDE w:val="0"/>
        <w:autoSpaceDN w:val="0"/>
        <w:adjustRightInd w:val="0"/>
        <w:ind w:right="846"/>
        <w:jc w:val="both"/>
        <w:rPr>
          <w:rFonts w:ascii="Times New Roman" w:hAnsi="Times New Roman" w:cs="Times New Roman"/>
          <w:color w:val="000000"/>
          <w:sz w:val="24"/>
          <w:szCs w:val="24"/>
        </w:rPr>
      </w:pPr>
      <w:r w:rsidRPr="006D4545">
        <w:rPr>
          <w:rFonts w:ascii="Times New Roman" w:hAnsi="Times New Roman" w:cs="Times New Roman"/>
          <w:color w:val="000000"/>
          <w:sz w:val="24"/>
          <w:szCs w:val="24"/>
        </w:rPr>
        <w:t xml:space="preserve">DESIDERANDO precisare le modalità della procedura per i disavanzi eccessivi di cui all'articolo 126 del trattato sul funzionamento dell'Unione europea, </w:t>
      </w:r>
    </w:p>
    <w:p w:rsidR="006D4545" w:rsidRPr="006D4545" w:rsidRDefault="006D4545" w:rsidP="006D4545">
      <w:pPr>
        <w:autoSpaceDE w:val="0"/>
        <w:autoSpaceDN w:val="0"/>
        <w:adjustRightInd w:val="0"/>
        <w:ind w:right="846"/>
        <w:jc w:val="both"/>
        <w:rPr>
          <w:rFonts w:ascii="Times New Roman" w:hAnsi="Times New Roman" w:cs="Times New Roman"/>
          <w:color w:val="000000"/>
          <w:sz w:val="24"/>
          <w:szCs w:val="24"/>
        </w:rPr>
      </w:pPr>
      <w:r w:rsidRPr="006D4545">
        <w:rPr>
          <w:rFonts w:ascii="Times New Roman" w:hAnsi="Times New Roman" w:cs="Times New Roman"/>
          <w:color w:val="000000"/>
          <w:sz w:val="24"/>
          <w:szCs w:val="24"/>
        </w:rPr>
        <w:t xml:space="preserve">HANNO CONVENUTO le disposizioni seguenti, che sono allegate al trattato sull'Unione europea e al trattato sul funzionamento dell'Unione europea: </w:t>
      </w:r>
    </w:p>
    <w:p w:rsidR="006D4545" w:rsidRPr="006D4545" w:rsidRDefault="006D4545" w:rsidP="006D4545">
      <w:pPr>
        <w:autoSpaceDE w:val="0"/>
        <w:autoSpaceDN w:val="0"/>
        <w:adjustRightInd w:val="0"/>
        <w:ind w:right="846"/>
        <w:jc w:val="both"/>
        <w:rPr>
          <w:rFonts w:ascii="Times New Roman" w:hAnsi="Times New Roman" w:cs="Times New Roman"/>
          <w:color w:val="000000"/>
          <w:sz w:val="24"/>
          <w:szCs w:val="24"/>
        </w:rPr>
      </w:pPr>
      <w:r w:rsidRPr="006D4545">
        <w:rPr>
          <w:rFonts w:ascii="Times New Roman" w:hAnsi="Times New Roman" w:cs="Times New Roman"/>
          <w:i/>
          <w:iCs/>
          <w:color w:val="000000"/>
          <w:sz w:val="24"/>
          <w:szCs w:val="24"/>
        </w:rPr>
        <w:t xml:space="preserve">Articolo 1 </w:t>
      </w:r>
    </w:p>
    <w:p w:rsidR="006D4545" w:rsidRPr="006D4545" w:rsidRDefault="006D4545" w:rsidP="006D4545">
      <w:pPr>
        <w:autoSpaceDE w:val="0"/>
        <w:autoSpaceDN w:val="0"/>
        <w:adjustRightInd w:val="0"/>
        <w:ind w:right="846"/>
        <w:jc w:val="both"/>
        <w:rPr>
          <w:rFonts w:ascii="Times New Roman" w:hAnsi="Times New Roman" w:cs="Times New Roman"/>
          <w:color w:val="000000"/>
          <w:sz w:val="24"/>
          <w:szCs w:val="24"/>
        </w:rPr>
      </w:pPr>
      <w:r w:rsidRPr="006D4545">
        <w:rPr>
          <w:rFonts w:ascii="Times New Roman" w:hAnsi="Times New Roman" w:cs="Times New Roman"/>
          <w:color w:val="000000"/>
          <w:sz w:val="24"/>
          <w:szCs w:val="24"/>
        </w:rPr>
        <w:t xml:space="preserve">I valori di riferimento di cui all'articolo 126, paragrafo 2, del trattato sul funzionamento dell'Unione europea sono: </w:t>
      </w:r>
    </w:p>
    <w:p w:rsidR="006D4545" w:rsidRPr="006D4545" w:rsidRDefault="006D4545" w:rsidP="006D4545">
      <w:pPr>
        <w:numPr>
          <w:ilvl w:val="0"/>
          <w:numId w:val="1"/>
        </w:numPr>
        <w:autoSpaceDE w:val="0"/>
        <w:autoSpaceDN w:val="0"/>
        <w:adjustRightInd w:val="0"/>
        <w:ind w:right="846"/>
        <w:jc w:val="both"/>
        <w:rPr>
          <w:rFonts w:ascii="Times New Roman" w:hAnsi="Times New Roman" w:cs="Times New Roman"/>
          <w:color w:val="000000"/>
          <w:sz w:val="24"/>
          <w:szCs w:val="24"/>
        </w:rPr>
      </w:pPr>
      <w:r w:rsidRPr="006D4545">
        <w:rPr>
          <w:rFonts w:ascii="Times New Roman" w:hAnsi="Times New Roman" w:cs="Times New Roman"/>
          <w:color w:val="000000"/>
          <w:sz w:val="24"/>
          <w:szCs w:val="24"/>
        </w:rPr>
        <w:t xml:space="preserve">il 3 % per il rapporto fra il disavanzo pubblico, previsto o effettivo, e il prodotto interno lordo ai prezzi di mercato, </w:t>
      </w:r>
    </w:p>
    <w:p w:rsidR="006D4545" w:rsidRPr="006D4545" w:rsidRDefault="006D4545" w:rsidP="006D4545">
      <w:pPr>
        <w:autoSpaceDE w:val="0"/>
        <w:autoSpaceDN w:val="0"/>
        <w:adjustRightInd w:val="0"/>
        <w:ind w:right="846"/>
        <w:jc w:val="both"/>
        <w:rPr>
          <w:rFonts w:ascii="Times New Roman" w:hAnsi="Times New Roman" w:cs="Times New Roman"/>
          <w:color w:val="000000"/>
          <w:sz w:val="24"/>
          <w:szCs w:val="24"/>
        </w:rPr>
      </w:pPr>
    </w:p>
    <w:p w:rsidR="006D4545" w:rsidRPr="006D4545" w:rsidRDefault="006D4545" w:rsidP="006D4545">
      <w:pPr>
        <w:numPr>
          <w:ilvl w:val="0"/>
          <w:numId w:val="2"/>
        </w:numPr>
        <w:autoSpaceDE w:val="0"/>
        <w:autoSpaceDN w:val="0"/>
        <w:adjustRightInd w:val="0"/>
        <w:ind w:right="846"/>
        <w:jc w:val="both"/>
        <w:rPr>
          <w:rFonts w:ascii="Times New Roman" w:hAnsi="Times New Roman" w:cs="Times New Roman"/>
          <w:color w:val="000000"/>
          <w:sz w:val="24"/>
          <w:szCs w:val="24"/>
        </w:rPr>
      </w:pPr>
      <w:r w:rsidRPr="006D4545">
        <w:rPr>
          <w:rFonts w:ascii="Times New Roman" w:hAnsi="Times New Roman" w:cs="Times New Roman"/>
          <w:color w:val="000000"/>
          <w:sz w:val="24"/>
          <w:szCs w:val="24"/>
        </w:rPr>
        <w:t xml:space="preserve">il 60 % per il rapporto fra il debito pubblico e il prodotto interno lordo ai prezzi di mercato. </w:t>
      </w:r>
    </w:p>
    <w:p w:rsidR="006D4545" w:rsidRPr="006D4545" w:rsidRDefault="006D4545" w:rsidP="006D4545">
      <w:pPr>
        <w:autoSpaceDE w:val="0"/>
        <w:autoSpaceDN w:val="0"/>
        <w:adjustRightInd w:val="0"/>
        <w:ind w:right="846"/>
        <w:jc w:val="both"/>
        <w:rPr>
          <w:rFonts w:ascii="Times New Roman" w:hAnsi="Times New Roman" w:cs="Times New Roman"/>
          <w:color w:val="000000"/>
          <w:sz w:val="24"/>
          <w:szCs w:val="24"/>
        </w:rPr>
      </w:pPr>
    </w:p>
    <w:p w:rsidR="006D4545" w:rsidRPr="006D4545" w:rsidRDefault="006D4545" w:rsidP="006D4545">
      <w:pPr>
        <w:autoSpaceDE w:val="0"/>
        <w:autoSpaceDN w:val="0"/>
        <w:adjustRightInd w:val="0"/>
        <w:ind w:right="846"/>
        <w:jc w:val="both"/>
        <w:rPr>
          <w:rFonts w:ascii="Times New Roman" w:hAnsi="Times New Roman" w:cs="Times New Roman"/>
          <w:color w:val="000000"/>
          <w:sz w:val="24"/>
          <w:szCs w:val="24"/>
        </w:rPr>
      </w:pPr>
      <w:r w:rsidRPr="006D4545">
        <w:rPr>
          <w:rFonts w:ascii="Times New Roman" w:hAnsi="Times New Roman" w:cs="Times New Roman"/>
          <w:i/>
          <w:iCs/>
          <w:color w:val="000000"/>
          <w:sz w:val="24"/>
          <w:szCs w:val="24"/>
        </w:rPr>
        <w:t xml:space="preserve">Articolo 2 </w:t>
      </w:r>
    </w:p>
    <w:p w:rsidR="006D4545" w:rsidRPr="006D4545" w:rsidRDefault="006D4545" w:rsidP="006D4545">
      <w:pPr>
        <w:autoSpaceDE w:val="0"/>
        <w:autoSpaceDN w:val="0"/>
        <w:adjustRightInd w:val="0"/>
        <w:ind w:right="846"/>
        <w:jc w:val="both"/>
        <w:rPr>
          <w:rFonts w:ascii="Times New Roman" w:hAnsi="Times New Roman" w:cs="Times New Roman"/>
          <w:color w:val="000000"/>
          <w:sz w:val="24"/>
          <w:szCs w:val="24"/>
        </w:rPr>
      </w:pPr>
      <w:r w:rsidRPr="006D4545">
        <w:rPr>
          <w:rFonts w:ascii="Times New Roman" w:hAnsi="Times New Roman" w:cs="Times New Roman"/>
          <w:color w:val="000000"/>
          <w:sz w:val="24"/>
          <w:szCs w:val="24"/>
        </w:rPr>
        <w:t xml:space="preserve">Nell'articolo 126 di detto trattato e nel presente protocollo: </w:t>
      </w:r>
    </w:p>
    <w:p w:rsidR="006D4545" w:rsidRPr="006D4545" w:rsidRDefault="006D4545" w:rsidP="006D4545">
      <w:pPr>
        <w:numPr>
          <w:ilvl w:val="0"/>
          <w:numId w:val="3"/>
        </w:numPr>
        <w:autoSpaceDE w:val="0"/>
        <w:autoSpaceDN w:val="0"/>
        <w:adjustRightInd w:val="0"/>
        <w:ind w:right="846"/>
        <w:jc w:val="both"/>
        <w:rPr>
          <w:rFonts w:ascii="Times New Roman" w:hAnsi="Times New Roman" w:cs="Times New Roman"/>
          <w:color w:val="000000"/>
          <w:sz w:val="24"/>
          <w:szCs w:val="24"/>
        </w:rPr>
      </w:pPr>
      <w:r w:rsidRPr="006D4545">
        <w:rPr>
          <w:rFonts w:ascii="Times New Roman" w:hAnsi="Times New Roman" w:cs="Times New Roman"/>
          <w:color w:val="000000"/>
          <w:sz w:val="24"/>
          <w:szCs w:val="24"/>
        </w:rPr>
        <w:t xml:space="preserve">per pubblico, si intende la pubblica amministrazione, vale a dire l'amministrazione statale, regionale o locale e i fondi di previdenza sociale, ad esclusione delle operazioni commerciali, quali definiti nel Sistema europeo di conti economici integrati, </w:t>
      </w:r>
    </w:p>
    <w:p w:rsidR="006D4545" w:rsidRPr="006D4545" w:rsidRDefault="006D4545" w:rsidP="006D4545">
      <w:pPr>
        <w:autoSpaceDE w:val="0"/>
        <w:autoSpaceDN w:val="0"/>
        <w:adjustRightInd w:val="0"/>
        <w:ind w:right="846"/>
        <w:jc w:val="both"/>
        <w:rPr>
          <w:rFonts w:ascii="Times New Roman" w:hAnsi="Times New Roman" w:cs="Times New Roman"/>
          <w:color w:val="000000"/>
          <w:sz w:val="24"/>
          <w:szCs w:val="24"/>
        </w:rPr>
      </w:pPr>
    </w:p>
    <w:p w:rsidR="006D4545" w:rsidRPr="006D4545" w:rsidRDefault="006D4545" w:rsidP="006D4545">
      <w:pPr>
        <w:numPr>
          <w:ilvl w:val="0"/>
          <w:numId w:val="4"/>
        </w:numPr>
        <w:autoSpaceDE w:val="0"/>
        <w:autoSpaceDN w:val="0"/>
        <w:adjustRightInd w:val="0"/>
        <w:ind w:right="846"/>
        <w:jc w:val="both"/>
        <w:rPr>
          <w:rFonts w:ascii="Times New Roman" w:hAnsi="Times New Roman" w:cs="Times New Roman"/>
          <w:color w:val="000000"/>
          <w:sz w:val="24"/>
          <w:szCs w:val="24"/>
        </w:rPr>
      </w:pPr>
      <w:r w:rsidRPr="006D4545">
        <w:rPr>
          <w:rFonts w:ascii="Times New Roman" w:hAnsi="Times New Roman" w:cs="Times New Roman"/>
          <w:color w:val="000000"/>
          <w:sz w:val="24"/>
          <w:szCs w:val="24"/>
        </w:rPr>
        <w:t xml:space="preserve">per disavanzo, si intende l'indebitamento netto quale definito nel Sistema europeo di conti economici integrati, </w:t>
      </w:r>
    </w:p>
    <w:p w:rsidR="006D4545" w:rsidRPr="006D4545" w:rsidRDefault="006D4545" w:rsidP="006D4545">
      <w:pPr>
        <w:autoSpaceDE w:val="0"/>
        <w:autoSpaceDN w:val="0"/>
        <w:adjustRightInd w:val="0"/>
        <w:ind w:right="846"/>
        <w:jc w:val="both"/>
        <w:rPr>
          <w:rFonts w:ascii="Times New Roman" w:hAnsi="Times New Roman" w:cs="Times New Roman"/>
          <w:color w:val="000000"/>
          <w:sz w:val="24"/>
          <w:szCs w:val="24"/>
        </w:rPr>
      </w:pPr>
    </w:p>
    <w:p w:rsidR="006D4545" w:rsidRPr="006D4545" w:rsidRDefault="006D4545" w:rsidP="006D4545">
      <w:pPr>
        <w:numPr>
          <w:ilvl w:val="0"/>
          <w:numId w:val="5"/>
        </w:numPr>
        <w:autoSpaceDE w:val="0"/>
        <w:autoSpaceDN w:val="0"/>
        <w:adjustRightInd w:val="0"/>
        <w:ind w:right="846"/>
        <w:jc w:val="both"/>
        <w:rPr>
          <w:rFonts w:ascii="Times New Roman" w:hAnsi="Times New Roman" w:cs="Times New Roman"/>
          <w:color w:val="000000"/>
          <w:sz w:val="24"/>
          <w:szCs w:val="24"/>
        </w:rPr>
      </w:pPr>
      <w:r w:rsidRPr="006D4545">
        <w:rPr>
          <w:rFonts w:ascii="Times New Roman" w:hAnsi="Times New Roman" w:cs="Times New Roman"/>
          <w:color w:val="000000"/>
          <w:sz w:val="24"/>
          <w:szCs w:val="24"/>
        </w:rPr>
        <w:t xml:space="preserve">per investimento, si intende la formazione lorda di capitale fisso, quale definita nel Sistema europeo di conti economici integrati, </w:t>
      </w:r>
    </w:p>
    <w:p w:rsidR="00C13793" w:rsidRPr="00C13793" w:rsidRDefault="00C13793" w:rsidP="00C13793">
      <w:pPr>
        <w:pStyle w:val="Paragrafoelenco"/>
        <w:numPr>
          <w:ilvl w:val="0"/>
          <w:numId w:val="5"/>
        </w:numPr>
        <w:autoSpaceDE w:val="0"/>
        <w:autoSpaceDN w:val="0"/>
        <w:adjustRightInd w:val="0"/>
        <w:rPr>
          <w:rFonts w:ascii="Times New Roman" w:hAnsi="Times New Roman" w:cs="Times New Roman"/>
          <w:color w:val="000000"/>
          <w:sz w:val="24"/>
          <w:szCs w:val="24"/>
        </w:rPr>
      </w:pPr>
    </w:p>
    <w:p w:rsidR="00C13793" w:rsidRPr="00C13793" w:rsidRDefault="00C13793" w:rsidP="00C13793">
      <w:pPr>
        <w:pStyle w:val="Paragrafoelenco"/>
        <w:numPr>
          <w:ilvl w:val="0"/>
          <w:numId w:val="5"/>
        </w:numPr>
        <w:autoSpaceDE w:val="0"/>
        <w:autoSpaceDN w:val="0"/>
        <w:adjustRightInd w:val="0"/>
        <w:rPr>
          <w:rFonts w:ascii="Times New Roman" w:hAnsi="Times New Roman" w:cs="Times New Roman"/>
          <w:color w:val="000000"/>
          <w:sz w:val="23"/>
          <w:szCs w:val="23"/>
        </w:rPr>
      </w:pPr>
      <w:r w:rsidRPr="00C13793">
        <w:rPr>
          <w:rFonts w:ascii="Times New Roman" w:hAnsi="Times New Roman" w:cs="Times New Roman"/>
          <w:color w:val="000000"/>
          <w:sz w:val="23"/>
          <w:szCs w:val="23"/>
        </w:rPr>
        <w:t xml:space="preserve">per debito, si intende il debito lordo al valore nominale in essere alla fine dell'esercizio e consolidato tra e nei settori della pubblica amministrazione quale definita nel primo trattino. </w:t>
      </w:r>
    </w:p>
    <w:p w:rsidR="00C13793" w:rsidRPr="00C13793" w:rsidRDefault="00C13793" w:rsidP="00C13793">
      <w:pPr>
        <w:pStyle w:val="Paragrafoelenco"/>
        <w:numPr>
          <w:ilvl w:val="0"/>
          <w:numId w:val="5"/>
        </w:numPr>
        <w:autoSpaceDE w:val="0"/>
        <w:autoSpaceDN w:val="0"/>
        <w:adjustRightInd w:val="0"/>
        <w:rPr>
          <w:rFonts w:ascii="Times New Roman" w:hAnsi="Times New Roman" w:cs="Times New Roman"/>
          <w:color w:val="000000"/>
          <w:sz w:val="23"/>
          <w:szCs w:val="23"/>
        </w:rPr>
      </w:pPr>
    </w:p>
    <w:p w:rsidR="00C13793" w:rsidRPr="00C13793" w:rsidRDefault="00C13793" w:rsidP="00C13793">
      <w:pPr>
        <w:pStyle w:val="Paragrafoelenco"/>
        <w:numPr>
          <w:ilvl w:val="0"/>
          <w:numId w:val="5"/>
        </w:numPr>
        <w:autoSpaceDE w:val="0"/>
        <w:autoSpaceDN w:val="0"/>
        <w:adjustRightInd w:val="0"/>
        <w:rPr>
          <w:rFonts w:ascii="Times New Roman" w:hAnsi="Times New Roman" w:cs="Times New Roman"/>
          <w:color w:val="000000"/>
          <w:sz w:val="23"/>
          <w:szCs w:val="23"/>
        </w:rPr>
      </w:pPr>
      <w:r w:rsidRPr="00C13793">
        <w:rPr>
          <w:rFonts w:ascii="Times New Roman" w:hAnsi="Times New Roman" w:cs="Times New Roman"/>
          <w:i/>
          <w:iCs/>
          <w:color w:val="000000"/>
          <w:sz w:val="23"/>
          <w:szCs w:val="23"/>
        </w:rPr>
        <w:t xml:space="preserve">Articolo 3 </w:t>
      </w:r>
    </w:p>
    <w:p w:rsidR="00C13793" w:rsidRPr="00C13793" w:rsidRDefault="00C13793" w:rsidP="00C13793">
      <w:pPr>
        <w:pStyle w:val="Paragrafoelenco"/>
        <w:numPr>
          <w:ilvl w:val="0"/>
          <w:numId w:val="5"/>
        </w:numPr>
        <w:autoSpaceDE w:val="0"/>
        <w:autoSpaceDN w:val="0"/>
        <w:adjustRightInd w:val="0"/>
        <w:ind w:right="846"/>
        <w:rPr>
          <w:rFonts w:ascii="Times New Roman" w:hAnsi="Times New Roman" w:cs="Times New Roman"/>
          <w:color w:val="000000"/>
          <w:sz w:val="24"/>
          <w:szCs w:val="24"/>
        </w:rPr>
      </w:pPr>
      <w:r w:rsidRPr="00C13793">
        <w:rPr>
          <w:rFonts w:ascii="Times New Roman" w:hAnsi="Times New Roman" w:cs="Times New Roman"/>
          <w:color w:val="000000"/>
          <w:sz w:val="24"/>
          <w:szCs w:val="24"/>
        </w:rPr>
        <w:t xml:space="preserve">Al fine di garantire l'efficacia della procedura per i disavanzi eccessivi, i governi degli Stati membri, ai sensi della stessa, sono responsabili dei disavanzi della pubblica amministrazione come definita all'articolo 2, primo trattino, del presente protocollo. Gli Stati membri assicurano che le procedure nazionali in materia di bilancio consentano loro di rispettare gli obblighi derivanti dai trattati in questo settore. Gli Stati membri riferiscono alla Commissione, tempestivamente e regolarmente, in merito al loro disavanzo, previsto ed effettivo, nonché al livello del loro debito. </w:t>
      </w:r>
    </w:p>
    <w:p w:rsidR="00C13793" w:rsidRPr="00C13793" w:rsidRDefault="00C13793" w:rsidP="00C13793">
      <w:pPr>
        <w:pStyle w:val="Paragrafoelenco"/>
        <w:numPr>
          <w:ilvl w:val="0"/>
          <w:numId w:val="5"/>
        </w:numPr>
        <w:autoSpaceDE w:val="0"/>
        <w:autoSpaceDN w:val="0"/>
        <w:adjustRightInd w:val="0"/>
        <w:ind w:right="846"/>
        <w:rPr>
          <w:rFonts w:ascii="Times New Roman" w:hAnsi="Times New Roman" w:cs="Times New Roman"/>
          <w:color w:val="000000"/>
          <w:sz w:val="24"/>
          <w:szCs w:val="24"/>
        </w:rPr>
      </w:pPr>
      <w:r w:rsidRPr="00C13793">
        <w:rPr>
          <w:rFonts w:ascii="Times New Roman" w:hAnsi="Times New Roman" w:cs="Times New Roman"/>
          <w:i/>
          <w:iCs/>
          <w:color w:val="000000"/>
          <w:sz w:val="24"/>
          <w:szCs w:val="24"/>
        </w:rPr>
        <w:t xml:space="preserve">Articolo 4 </w:t>
      </w:r>
    </w:p>
    <w:p w:rsidR="00C13793" w:rsidRPr="00C13793" w:rsidRDefault="00C13793" w:rsidP="00C13793">
      <w:pPr>
        <w:pStyle w:val="Paragrafoelenco"/>
        <w:numPr>
          <w:ilvl w:val="0"/>
          <w:numId w:val="5"/>
        </w:numPr>
        <w:autoSpaceDE w:val="0"/>
        <w:autoSpaceDN w:val="0"/>
        <w:adjustRightInd w:val="0"/>
        <w:ind w:right="846"/>
        <w:rPr>
          <w:rFonts w:ascii="Times New Roman" w:hAnsi="Times New Roman" w:cs="Times New Roman"/>
          <w:color w:val="000000"/>
          <w:sz w:val="24"/>
          <w:szCs w:val="24"/>
        </w:rPr>
      </w:pPr>
      <w:r w:rsidRPr="00C13793">
        <w:rPr>
          <w:rFonts w:ascii="Times New Roman" w:hAnsi="Times New Roman" w:cs="Times New Roman"/>
          <w:color w:val="000000"/>
          <w:sz w:val="24"/>
          <w:szCs w:val="24"/>
        </w:rPr>
        <w:t xml:space="preserve">I dati statistici da usare per l'applicazione del presente protocollo sono forniti dalla Commissione. 6655/1/08 REV 1 363 </w:t>
      </w:r>
      <w:r w:rsidRPr="00C13793">
        <w:rPr>
          <w:rFonts w:ascii="Times New Roman" w:hAnsi="Times New Roman" w:cs="Times New Roman"/>
          <w:b/>
          <w:bCs/>
          <w:color w:val="000000"/>
          <w:sz w:val="24"/>
          <w:szCs w:val="24"/>
        </w:rPr>
        <w:t xml:space="preserve">IT </w:t>
      </w:r>
    </w:p>
    <w:p w:rsidR="00C13793" w:rsidRPr="00C13793" w:rsidRDefault="00C13793" w:rsidP="00C13793">
      <w:pPr>
        <w:pStyle w:val="Paragrafoelenco"/>
        <w:pageBreakBefore/>
        <w:numPr>
          <w:ilvl w:val="0"/>
          <w:numId w:val="5"/>
        </w:numPr>
        <w:autoSpaceDE w:val="0"/>
        <w:autoSpaceDN w:val="0"/>
        <w:adjustRightInd w:val="0"/>
        <w:jc w:val="center"/>
        <w:rPr>
          <w:rFonts w:ascii="Times New Roman" w:hAnsi="Times New Roman" w:cs="Times New Roman"/>
          <w:color w:val="000000"/>
          <w:sz w:val="23"/>
          <w:szCs w:val="23"/>
        </w:rPr>
      </w:pPr>
      <w:r w:rsidRPr="00C13793">
        <w:rPr>
          <w:rFonts w:ascii="Times New Roman" w:hAnsi="Times New Roman" w:cs="Times New Roman"/>
          <w:color w:val="000000"/>
          <w:sz w:val="23"/>
          <w:szCs w:val="23"/>
        </w:rPr>
        <w:lastRenderedPageBreak/>
        <w:t xml:space="preserve">PROTOCOLLO (n. 13) </w:t>
      </w:r>
      <w:r w:rsidRPr="00C13793">
        <w:rPr>
          <w:rFonts w:ascii="Times New Roman" w:hAnsi="Times New Roman" w:cs="Times New Roman"/>
          <w:b/>
          <w:bCs/>
          <w:color w:val="000000"/>
          <w:sz w:val="23"/>
          <w:szCs w:val="23"/>
        </w:rPr>
        <w:t xml:space="preserve">SUI CRITERI </w:t>
      </w:r>
      <w:proofErr w:type="spellStart"/>
      <w:r w:rsidRPr="00C13793">
        <w:rPr>
          <w:rFonts w:ascii="Times New Roman" w:hAnsi="Times New Roman" w:cs="Times New Roman"/>
          <w:b/>
          <w:bCs/>
          <w:color w:val="000000"/>
          <w:sz w:val="23"/>
          <w:szCs w:val="23"/>
        </w:rPr>
        <w:t>DI</w:t>
      </w:r>
      <w:proofErr w:type="spellEnd"/>
      <w:r w:rsidRPr="00C13793">
        <w:rPr>
          <w:rFonts w:ascii="Times New Roman" w:hAnsi="Times New Roman" w:cs="Times New Roman"/>
          <w:b/>
          <w:bCs/>
          <w:color w:val="000000"/>
          <w:sz w:val="23"/>
          <w:szCs w:val="23"/>
        </w:rPr>
        <w:t xml:space="preserve"> CONVERGENZA </w:t>
      </w:r>
    </w:p>
    <w:p w:rsidR="00C13793" w:rsidRDefault="00C13793" w:rsidP="00C13793">
      <w:pPr>
        <w:pStyle w:val="Paragrafoelenco"/>
        <w:numPr>
          <w:ilvl w:val="0"/>
          <w:numId w:val="5"/>
        </w:numPr>
        <w:autoSpaceDE w:val="0"/>
        <w:autoSpaceDN w:val="0"/>
        <w:adjustRightInd w:val="0"/>
        <w:ind w:right="846"/>
        <w:jc w:val="both"/>
        <w:rPr>
          <w:rFonts w:ascii="Times New Roman" w:hAnsi="Times New Roman" w:cs="Times New Roman"/>
          <w:color w:val="000000"/>
          <w:sz w:val="23"/>
          <w:szCs w:val="23"/>
        </w:rPr>
      </w:pPr>
    </w:p>
    <w:p w:rsidR="00C13793" w:rsidRPr="00C13793" w:rsidRDefault="00C13793" w:rsidP="00C13793">
      <w:pPr>
        <w:pStyle w:val="Paragrafoelenco"/>
        <w:numPr>
          <w:ilvl w:val="0"/>
          <w:numId w:val="5"/>
        </w:numPr>
        <w:autoSpaceDE w:val="0"/>
        <w:autoSpaceDN w:val="0"/>
        <w:adjustRightInd w:val="0"/>
        <w:ind w:right="846"/>
        <w:jc w:val="both"/>
        <w:rPr>
          <w:rFonts w:ascii="Times New Roman" w:hAnsi="Times New Roman" w:cs="Times New Roman"/>
          <w:color w:val="000000"/>
          <w:sz w:val="23"/>
          <w:szCs w:val="23"/>
        </w:rPr>
      </w:pPr>
      <w:r w:rsidRPr="00C13793">
        <w:rPr>
          <w:rFonts w:ascii="Times New Roman" w:hAnsi="Times New Roman" w:cs="Times New Roman"/>
          <w:color w:val="000000"/>
          <w:sz w:val="23"/>
          <w:szCs w:val="23"/>
        </w:rPr>
        <w:t xml:space="preserve">LE ALTE PARTI CONTRAENTI, </w:t>
      </w:r>
    </w:p>
    <w:p w:rsidR="00C13793" w:rsidRPr="00C13793" w:rsidRDefault="00C13793" w:rsidP="00C13793">
      <w:pPr>
        <w:pStyle w:val="Paragrafoelenco"/>
        <w:numPr>
          <w:ilvl w:val="0"/>
          <w:numId w:val="5"/>
        </w:numPr>
        <w:autoSpaceDE w:val="0"/>
        <w:autoSpaceDN w:val="0"/>
        <w:adjustRightInd w:val="0"/>
        <w:ind w:right="846"/>
        <w:jc w:val="both"/>
        <w:rPr>
          <w:rFonts w:ascii="Times New Roman" w:hAnsi="Times New Roman" w:cs="Times New Roman"/>
          <w:color w:val="000000"/>
          <w:sz w:val="23"/>
          <w:szCs w:val="23"/>
        </w:rPr>
      </w:pPr>
      <w:r w:rsidRPr="00C13793">
        <w:rPr>
          <w:rFonts w:ascii="Times New Roman" w:hAnsi="Times New Roman" w:cs="Times New Roman"/>
          <w:color w:val="000000"/>
          <w:sz w:val="23"/>
          <w:szCs w:val="23"/>
        </w:rPr>
        <w:t xml:space="preserve">DESIDERANDO precisare i dettagli dei criteri di convergenza che devono ispirare l'Unione nel processo decisionale volto a porre termine alle deroghe degli Stati membri con deroga di cui all'articolo 140 del trattato sul funzionamento dell'Unione europea, </w:t>
      </w:r>
    </w:p>
    <w:p w:rsidR="00C13793" w:rsidRPr="00C13793" w:rsidRDefault="00C13793" w:rsidP="00C13793">
      <w:pPr>
        <w:pStyle w:val="Paragrafoelenco"/>
        <w:numPr>
          <w:ilvl w:val="0"/>
          <w:numId w:val="5"/>
        </w:numPr>
        <w:autoSpaceDE w:val="0"/>
        <w:autoSpaceDN w:val="0"/>
        <w:adjustRightInd w:val="0"/>
        <w:ind w:right="846"/>
        <w:jc w:val="both"/>
        <w:rPr>
          <w:rFonts w:ascii="Times New Roman" w:hAnsi="Times New Roman" w:cs="Times New Roman"/>
          <w:color w:val="000000"/>
          <w:sz w:val="23"/>
          <w:szCs w:val="23"/>
        </w:rPr>
      </w:pPr>
      <w:r w:rsidRPr="00C13793">
        <w:rPr>
          <w:rFonts w:ascii="Times New Roman" w:hAnsi="Times New Roman" w:cs="Times New Roman"/>
          <w:color w:val="000000"/>
          <w:sz w:val="23"/>
          <w:szCs w:val="23"/>
        </w:rPr>
        <w:t xml:space="preserve">HANNO CONVENUTO le disposizioni seguenti, che sono allegate al trattato sull'Unione europea e al trattato sul funzionamento dell'Unione europea: </w:t>
      </w:r>
    </w:p>
    <w:p w:rsidR="00C13793" w:rsidRPr="00C13793" w:rsidRDefault="00C13793" w:rsidP="00C13793">
      <w:pPr>
        <w:pStyle w:val="Paragrafoelenco"/>
        <w:numPr>
          <w:ilvl w:val="0"/>
          <w:numId w:val="5"/>
        </w:numPr>
        <w:autoSpaceDE w:val="0"/>
        <w:autoSpaceDN w:val="0"/>
        <w:adjustRightInd w:val="0"/>
        <w:ind w:right="846"/>
        <w:jc w:val="both"/>
        <w:rPr>
          <w:rFonts w:ascii="Times New Roman" w:hAnsi="Times New Roman" w:cs="Times New Roman"/>
          <w:color w:val="000000"/>
          <w:sz w:val="23"/>
          <w:szCs w:val="23"/>
        </w:rPr>
      </w:pPr>
      <w:r w:rsidRPr="00C13793">
        <w:rPr>
          <w:rFonts w:ascii="Times New Roman" w:hAnsi="Times New Roman" w:cs="Times New Roman"/>
          <w:i/>
          <w:iCs/>
          <w:color w:val="000000"/>
          <w:sz w:val="23"/>
          <w:szCs w:val="23"/>
        </w:rPr>
        <w:t xml:space="preserve">Articolo 1 </w:t>
      </w:r>
    </w:p>
    <w:p w:rsidR="00C13793" w:rsidRPr="00C13793" w:rsidRDefault="00C13793" w:rsidP="00C13793">
      <w:pPr>
        <w:pStyle w:val="Paragrafoelenco"/>
        <w:numPr>
          <w:ilvl w:val="0"/>
          <w:numId w:val="5"/>
        </w:numPr>
        <w:autoSpaceDE w:val="0"/>
        <w:autoSpaceDN w:val="0"/>
        <w:adjustRightInd w:val="0"/>
        <w:ind w:right="846"/>
        <w:jc w:val="both"/>
        <w:rPr>
          <w:rFonts w:ascii="Times New Roman" w:hAnsi="Times New Roman" w:cs="Times New Roman"/>
          <w:color w:val="000000"/>
          <w:sz w:val="23"/>
          <w:szCs w:val="23"/>
        </w:rPr>
      </w:pPr>
      <w:r w:rsidRPr="00C13793">
        <w:rPr>
          <w:rFonts w:ascii="Times New Roman" w:hAnsi="Times New Roman" w:cs="Times New Roman"/>
          <w:color w:val="000000"/>
          <w:sz w:val="23"/>
          <w:szCs w:val="23"/>
        </w:rPr>
        <w:t xml:space="preserve">Il criterio relativo alla stabilità dei prezzi di cui all'articolo 140, paragrafo 1, primo trattino, del trattato sul funzionamento dell'Unione europea, significa che gli Stati membri hanno un andamento dei prezzi che è sostenibile ed un tasso medio d'inflazione che, osservato per un periodo di un anno anteriormente all'esame, non supera di oltre 1,5 punti percentuali quello dei tre Stati membri, al massimo, che hanno conseguito i migliori risultati in termini di stabilità dei prezzi. L'inflazione si misura mediante l'indice dei prezzi al consumo (IPC) calcolato su base comparabile, tenendo conto delle differenze delle definizioni nazionali. </w:t>
      </w:r>
    </w:p>
    <w:p w:rsidR="00C13793" w:rsidRPr="00C13793" w:rsidRDefault="00C13793" w:rsidP="00C13793">
      <w:pPr>
        <w:pStyle w:val="Paragrafoelenco"/>
        <w:numPr>
          <w:ilvl w:val="0"/>
          <w:numId w:val="5"/>
        </w:numPr>
        <w:autoSpaceDE w:val="0"/>
        <w:autoSpaceDN w:val="0"/>
        <w:adjustRightInd w:val="0"/>
        <w:ind w:right="846"/>
        <w:jc w:val="both"/>
        <w:rPr>
          <w:rFonts w:ascii="Times New Roman" w:hAnsi="Times New Roman" w:cs="Times New Roman"/>
          <w:color w:val="000000"/>
          <w:sz w:val="23"/>
          <w:szCs w:val="23"/>
        </w:rPr>
      </w:pPr>
      <w:r w:rsidRPr="00C13793">
        <w:rPr>
          <w:rFonts w:ascii="Times New Roman" w:hAnsi="Times New Roman" w:cs="Times New Roman"/>
          <w:i/>
          <w:iCs/>
          <w:color w:val="000000"/>
          <w:sz w:val="23"/>
          <w:szCs w:val="23"/>
        </w:rPr>
        <w:t xml:space="preserve">Articolo 2 </w:t>
      </w:r>
    </w:p>
    <w:p w:rsidR="00C13793" w:rsidRPr="00C13793" w:rsidRDefault="00C13793" w:rsidP="00C13793">
      <w:pPr>
        <w:pStyle w:val="Paragrafoelenco"/>
        <w:numPr>
          <w:ilvl w:val="0"/>
          <w:numId w:val="5"/>
        </w:numPr>
        <w:autoSpaceDE w:val="0"/>
        <w:autoSpaceDN w:val="0"/>
        <w:adjustRightInd w:val="0"/>
        <w:ind w:right="846"/>
        <w:jc w:val="both"/>
        <w:rPr>
          <w:rFonts w:ascii="Times New Roman" w:hAnsi="Times New Roman" w:cs="Times New Roman"/>
          <w:color w:val="000000"/>
          <w:sz w:val="36"/>
          <w:szCs w:val="36"/>
        </w:rPr>
      </w:pPr>
      <w:r w:rsidRPr="00C13793">
        <w:rPr>
          <w:rFonts w:ascii="Times New Roman" w:hAnsi="Times New Roman" w:cs="Times New Roman"/>
          <w:color w:val="000000"/>
          <w:sz w:val="23"/>
          <w:szCs w:val="23"/>
        </w:rPr>
        <w:t xml:space="preserve">Il criterio relativo alla situazione di bilancio pubblico di cui all'articolo 140, paragrafo 1, secondo trattino, di detto trattato, significa che, al momento dell'esame, lo Stato membro non è oggetto di una decisione del Consiglio di cui all'articolo 126, paragrafo 6, di detto trattato, circa l'esistenza di un disavanzo eccessivo. 6655/1/08 REV 1 364 </w:t>
      </w:r>
    </w:p>
    <w:p w:rsidR="00C13793" w:rsidRPr="00C13793" w:rsidRDefault="00C13793" w:rsidP="00C13793">
      <w:pPr>
        <w:pageBreakBefore/>
        <w:autoSpaceDE w:val="0"/>
        <w:autoSpaceDN w:val="0"/>
        <w:adjustRightInd w:val="0"/>
        <w:ind w:left="720" w:right="704"/>
        <w:jc w:val="both"/>
        <w:rPr>
          <w:rFonts w:ascii="Times New Roman" w:hAnsi="Times New Roman" w:cs="Times New Roman"/>
          <w:color w:val="000000"/>
          <w:sz w:val="23"/>
          <w:szCs w:val="23"/>
        </w:rPr>
      </w:pPr>
      <w:r>
        <w:rPr>
          <w:rFonts w:ascii="Times New Roman" w:hAnsi="Times New Roman" w:cs="Times New Roman"/>
          <w:i/>
          <w:iCs/>
          <w:color w:val="000000"/>
          <w:sz w:val="23"/>
          <w:szCs w:val="23"/>
        </w:rPr>
        <w:lastRenderedPageBreak/>
        <w:t xml:space="preserve"> </w:t>
      </w:r>
      <w:r w:rsidRPr="00C13793">
        <w:rPr>
          <w:rFonts w:ascii="Times New Roman" w:hAnsi="Times New Roman" w:cs="Times New Roman"/>
          <w:i/>
          <w:iCs/>
          <w:color w:val="000000"/>
          <w:sz w:val="23"/>
          <w:szCs w:val="23"/>
        </w:rPr>
        <w:t xml:space="preserve">Articolo 3 </w:t>
      </w:r>
    </w:p>
    <w:p w:rsidR="00C13793" w:rsidRPr="00C13793" w:rsidRDefault="00C13793" w:rsidP="00C13793">
      <w:pPr>
        <w:pStyle w:val="Paragrafoelenco"/>
        <w:numPr>
          <w:ilvl w:val="0"/>
          <w:numId w:val="5"/>
        </w:numPr>
        <w:autoSpaceDE w:val="0"/>
        <w:autoSpaceDN w:val="0"/>
        <w:adjustRightInd w:val="0"/>
        <w:ind w:right="704"/>
        <w:jc w:val="both"/>
        <w:rPr>
          <w:rFonts w:ascii="Times New Roman" w:hAnsi="Times New Roman" w:cs="Times New Roman"/>
          <w:color w:val="000000"/>
          <w:sz w:val="23"/>
          <w:szCs w:val="23"/>
        </w:rPr>
      </w:pPr>
      <w:r w:rsidRPr="00C13793">
        <w:rPr>
          <w:rFonts w:ascii="Times New Roman" w:hAnsi="Times New Roman" w:cs="Times New Roman"/>
          <w:color w:val="000000"/>
          <w:sz w:val="23"/>
          <w:szCs w:val="23"/>
        </w:rPr>
        <w:t xml:space="preserve">Il criterio relativo alla partecipazione al meccanismo di cambio del Sistema monetario europeo di cui all'articolo 140, paragrafo 1, terzo trattino, di detto trattato, significa che lo Stato membro ha rispettato i normali margini di fluttuazione stabiliti dal meccanismo di cambio del Sistema monetario europeo senza gravi tensioni per almeno due anni prima dell'esame. In particolare, e, per lo stesso periodo, non deve aver svalutato di propria iniziativa il tasso di cambio centrale bilaterale della sua moneta nei confronti dell'euro. </w:t>
      </w:r>
    </w:p>
    <w:p w:rsidR="00C13793" w:rsidRPr="00C13793" w:rsidRDefault="00C13793" w:rsidP="00C13793">
      <w:pPr>
        <w:pStyle w:val="Paragrafoelenco"/>
        <w:numPr>
          <w:ilvl w:val="0"/>
          <w:numId w:val="5"/>
        </w:numPr>
        <w:autoSpaceDE w:val="0"/>
        <w:autoSpaceDN w:val="0"/>
        <w:adjustRightInd w:val="0"/>
        <w:ind w:right="704"/>
        <w:jc w:val="both"/>
        <w:rPr>
          <w:rFonts w:ascii="Times New Roman" w:hAnsi="Times New Roman" w:cs="Times New Roman"/>
          <w:color w:val="000000"/>
          <w:sz w:val="23"/>
          <w:szCs w:val="23"/>
        </w:rPr>
      </w:pPr>
      <w:r w:rsidRPr="00C13793">
        <w:rPr>
          <w:rFonts w:ascii="Times New Roman" w:hAnsi="Times New Roman" w:cs="Times New Roman"/>
          <w:i/>
          <w:iCs/>
          <w:color w:val="000000"/>
          <w:sz w:val="23"/>
          <w:szCs w:val="23"/>
        </w:rPr>
        <w:t xml:space="preserve">Articolo 4 </w:t>
      </w:r>
    </w:p>
    <w:p w:rsidR="00C13793" w:rsidRPr="00C13793" w:rsidRDefault="00C13793" w:rsidP="00C13793">
      <w:pPr>
        <w:pStyle w:val="Paragrafoelenco"/>
        <w:numPr>
          <w:ilvl w:val="0"/>
          <w:numId w:val="5"/>
        </w:numPr>
        <w:autoSpaceDE w:val="0"/>
        <w:autoSpaceDN w:val="0"/>
        <w:adjustRightInd w:val="0"/>
        <w:ind w:right="704"/>
        <w:jc w:val="both"/>
        <w:rPr>
          <w:rFonts w:ascii="Times New Roman" w:hAnsi="Times New Roman" w:cs="Times New Roman"/>
          <w:color w:val="000000"/>
          <w:sz w:val="23"/>
          <w:szCs w:val="23"/>
        </w:rPr>
      </w:pPr>
      <w:r w:rsidRPr="00C13793">
        <w:rPr>
          <w:rFonts w:ascii="Times New Roman" w:hAnsi="Times New Roman" w:cs="Times New Roman"/>
          <w:color w:val="000000"/>
          <w:sz w:val="23"/>
          <w:szCs w:val="23"/>
        </w:rPr>
        <w:t xml:space="preserve">Il criterio relativo alla convergenza dei tassi d'interesse di cui all'articolo 140, paragrafo 1, quarto trattino, di detto trattato, significa che il tasso d'interesse nominale a lungo termine di uno Stato membro osservato in media nell'arco di un anno prima dell'esame non ha ecceduto di oltre 2 punti percentuali quello dei tre Stati membri, al massimo, che hanno conseguito i migliori risultati in termini di stabilità dei prezzi. I tassi di interesse si misurano sulla base delle obbligazioni a lungo termine emesse dallo Stato o sulla base di titoli analoghi, tenendo conto delle differenze nelle definizioni nazionali. </w:t>
      </w:r>
    </w:p>
    <w:p w:rsidR="00C13793" w:rsidRPr="00C13793" w:rsidRDefault="00C13793" w:rsidP="00C13793">
      <w:pPr>
        <w:pStyle w:val="Paragrafoelenco"/>
        <w:numPr>
          <w:ilvl w:val="0"/>
          <w:numId w:val="5"/>
        </w:numPr>
        <w:autoSpaceDE w:val="0"/>
        <w:autoSpaceDN w:val="0"/>
        <w:adjustRightInd w:val="0"/>
        <w:ind w:right="704"/>
        <w:jc w:val="both"/>
        <w:rPr>
          <w:rFonts w:ascii="Times New Roman" w:hAnsi="Times New Roman" w:cs="Times New Roman"/>
          <w:color w:val="000000"/>
          <w:sz w:val="23"/>
          <w:szCs w:val="23"/>
        </w:rPr>
      </w:pPr>
      <w:r w:rsidRPr="00C13793">
        <w:rPr>
          <w:rFonts w:ascii="Times New Roman" w:hAnsi="Times New Roman" w:cs="Times New Roman"/>
          <w:i/>
          <w:iCs/>
          <w:color w:val="000000"/>
          <w:sz w:val="23"/>
          <w:szCs w:val="23"/>
        </w:rPr>
        <w:t xml:space="preserve">Articolo 5 </w:t>
      </w:r>
    </w:p>
    <w:p w:rsidR="00C13793" w:rsidRPr="00C13793" w:rsidRDefault="00C13793" w:rsidP="00C13793">
      <w:pPr>
        <w:pStyle w:val="Paragrafoelenco"/>
        <w:numPr>
          <w:ilvl w:val="0"/>
          <w:numId w:val="5"/>
        </w:numPr>
        <w:autoSpaceDE w:val="0"/>
        <w:autoSpaceDN w:val="0"/>
        <w:adjustRightInd w:val="0"/>
        <w:ind w:right="704"/>
        <w:jc w:val="both"/>
        <w:rPr>
          <w:rFonts w:ascii="Times New Roman" w:hAnsi="Times New Roman" w:cs="Times New Roman"/>
          <w:color w:val="000000"/>
          <w:sz w:val="23"/>
          <w:szCs w:val="23"/>
        </w:rPr>
      </w:pPr>
      <w:r w:rsidRPr="00C13793">
        <w:rPr>
          <w:rFonts w:ascii="Times New Roman" w:hAnsi="Times New Roman" w:cs="Times New Roman"/>
          <w:color w:val="000000"/>
          <w:sz w:val="23"/>
          <w:szCs w:val="23"/>
        </w:rPr>
        <w:t xml:space="preserve">I dati statistici da usare per l'applicazione del presente protocollo sono forniti dalla Commissione. </w:t>
      </w:r>
    </w:p>
    <w:p w:rsidR="00C13793" w:rsidRPr="00C13793" w:rsidRDefault="00C13793" w:rsidP="00C13793">
      <w:pPr>
        <w:pStyle w:val="Paragrafoelenco"/>
        <w:numPr>
          <w:ilvl w:val="0"/>
          <w:numId w:val="5"/>
        </w:numPr>
        <w:autoSpaceDE w:val="0"/>
        <w:autoSpaceDN w:val="0"/>
        <w:adjustRightInd w:val="0"/>
        <w:ind w:right="704"/>
        <w:jc w:val="both"/>
        <w:rPr>
          <w:rFonts w:ascii="Times New Roman" w:hAnsi="Times New Roman" w:cs="Times New Roman"/>
          <w:color w:val="000000"/>
          <w:sz w:val="23"/>
          <w:szCs w:val="23"/>
        </w:rPr>
      </w:pPr>
      <w:r w:rsidRPr="00C13793">
        <w:rPr>
          <w:rFonts w:ascii="Times New Roman" w:hAnsi="Times New Roman" w:cs="Times New Roman"/>
          <w:i/>
          <w:iCs/>
          <w:color w:val="000000"/>
          <w:sz w:val="23"/>
          <w:szCs w:val="23"/>
        </w:rPr>
        <w:t xml:space="preserve">Articolo 6 </w:t>
      </w:r>
    </w:p>
    <w:p w:rsidR="002B3BBF" w:rsidRPr="00C13793" w:rsidRDefault="00C13793" w:rsidP="00C13793">
      <w:pPr>
        <w:pStyle w:val="Paragrafoelenco"/>
        <w:numPr>
          <w:ilvl w:val="0"/>
          <w:numId w:val="5"/>
        </w:numPr>
        <w:ind w:right="704"/>
        <w:jc w:val="both"/>
        <w:rPr>
          <w:sz w:val="24"/>
          <w:szCs w:val="24"/>
        </w:rPr>
      </w:pPr>
      <w:r w:rsidRPr="00C13793">
        <w:rPr>
          <w:rFonts w:ascii="Times New Roman" w:hAnsi="Times New Roman" w:cs="Times New Roman"/>
          <w:color w:val="000000"/>
          <w:sz w:val="23"/>
          <w:szCs w:val="23"/>
        </w:rPr>
        <w:t>Il Consiglio, deliberando all'unanimità su proposta della Commissione e previa consultazione del Parlamento europeo, della BCE, nonché del comitato economico e finanziario, adotta le disposizioni atte a precisare i dettagli dei criteri di convergenza di cui all'articolo 140 di detto trattato, che pertanto sono destinate a sostituire il presente protocollo. 6655/</w:t>
      </w:r>
    </w:p>
    <w:sectPr w:rsidR="002B3BBF" w:rsidRPr="00C13793" w:rsidSect="008E55A3">
      <w:pgSz w:w="11904" w:h="17340"/>
      <w:pgMar w:top="999" w:right="514" w:bottom="402" w:left="905"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D0D739"/>
    <w:multiLevelType w:val="hybridMultilevel"/>
    <w:tmpl w:val="F1D7A7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E9ABB73"/>
    <w:multiLevelType w:val="hybridMultilevel"/>
    <w:tmpl w:val="254108F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457656FE"/>
    <w:multiLevelType w:val="hybridMultilevel"/>
    <w:tmpl w:val="7FB5CDF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6965021C"/>
    <w:multiLevelType w:val="hybridMultilevel"/>
    <w:tmpl w:val="7556F55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7C25A819"/>
    <w:multiLevelType w:val="hybridMultilevel"/>
    <w:tmpl w:val="44CF27D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savePreviewPicture/>
  <w:compat/>
  <w:rsids>
    <w:rsidRoot w:val="006D4545"/>
    <w:rsid w:val="002B3BBF"/>
    <w:rsid w:val="006C450E"/>
    <w:rsid w:val="006D4545"/>
    <w:rsid w:val="00C1379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B3BBF"/>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6D4545"/>
    <w:pPr>
      <w:autoSpaceDE w:val="0"/>
      <w:autoSpaceDN w:val="0"/>
      <w:adjustRightInd w:val="0"/>
    </w:pPr>
    <w:rPr>
      <w:rFonts w:ascii="Times New Roman" w:hAnsi="Times New Roman" w:cs="Times New Roman"/>
      <w:color w:val="000000"/>
      <w:sz w:val="24"/>
      <w:szCs w:val="24"/>
    </w:rPr>
  </w:style>
  <w:style w:type="paragraph" w:customStyle="1" w:styleId="ManualHeading1">
    <w:name w:val="Manual Heading 1"/>
    <w:basedOn w:val="Default"/>
    <w:next w:val="Default"/>
    <w:uiPriority w:val="99"/>
    <w:rsid w:val="006D4545"/>
    <w:rPr>
      <w:color w:val="auto"/>
    </w:rPr>
  </w:style>
  <w:style w:type="paragraph" w:styleId="Testofumetto">
    <w:name w:val="Balloon Text"/>
    <w:basedOn w:val="Normale"/>
    <w:link w:val="TestofumettoCarattere"/>
    <w:uiPriority w:val="99"/>
    <w:semiHidden/>
    <w:unhideWhenUsed/>
    <w:rsid w:val="006D4545"/>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D4545"/>
    <w:rPr>
      <w:rFonts w:ascii="Tahoma" w:hAnsi="Tahoma" w:cs="Tahoma"/>
      <w:sz w:val="16"/>
      <w:szCs w:val="16"/>
    </w:rPr>
  </w:style>
  <w:style w:type="paragraph" w:styleId="Paragrafoelenco">
    <w:name w:val="List Paragraph"/>
    <w:basedOn w:val="Normale"/>
    <w:uiPriority w:val="34"/>
    <w:qFormat/>
    <w:rsid w:val="00C1379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813</Words>
  <Characters>4640</Characters>
  <Application>Microsoft Office Word</Application>
  <DocSecurity>0</DocSecurity>
  <Lines>38</Lines>
  <Paragraphs>10</Paragraphs>
  <ScaleCrop>false</ScaleCrop>
  <Company/>
  <LinksUpToDate>false</LinksUpToDate>
  <CharactersWithSpaces>5443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rosiello.r</dc:creator>
  <cp:lastModifiedBy>rosiello.r</cp:lastModifiedBy>
  <cp:revision>2</cp:revision>
  <cp:lastPrinted>2014-02-04T15:36:00Z</cp:lastPrinted>
  <dcterms:created xsi:type="dcterms:W3CDTF">2014-02-04T15:30:00Z</dcterms:created>
  <dcterms:modified xsi:type="dcterms:W3CDTF">2014-02-04T15:36:00Z</dcterms:modified>
</cp:coreProperties>
</file>